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39E4" w14:textId="77777777" w:rsidR="000535CA" w:rsidRDefault="000535CA" w:rsidP="000535CA">
      <w:pPr>
        <w:pStyle w:val="Title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Pen Bay Medical Center Clinical Conference</w:t>
      </w:r>
    </w:p>
    <w:p w14:paraId="194EA391" w14:textId="77777777" w:rsidR="000535CA" w:rsidRDefault="000535CA" w:rsidP="000535CA">
      <w:pPr>
        <w:pStyle w:val="Subtitle"/>
        <w:rPr>
          <w:rFonts w:ascii="Georgia" w:hAnsi="Georgia"/>
        </w:rPr>
      </w:pPr>
      <w:r>
        <w:rPr>
          <w:rFonts w:ascii="Georgia" w:hAnsi="Georgia"/>
        </w:rPr>
        <w:t>Presenting</w:t>
      </w:r>
    </w:p>
    <w:p w14:paraId="78E5ACF1" w14:textId="77777777" w:rsidR="000535CA" w:rsidRDefault="000535CA" w:rsidP="000535CA">
      <w:pPr>
        <w:pStyle w:val="BodyTextIndent"/>
        <w:ind w:firstLine="0"/>
        <w:rPr>
          <w:rFonts w:ascii="Georgia" w:hAnsi="Georgia"/>
          <w:sz w:val="20"/>
          <w:szCs w:val="20"/>
        </w:rPr>
      </w:pPr>
    </w:p>
    <w:p w14:paraId="1E288D64" w14:textId="77777777" w:rsidR="000535CA" w:rsidRDefault="000535CA" w:rsidP="000535CA">
      <w:pPr>
        <w:pStyle w:val="BodyTextIndent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Christina DeMatteo, DO, MPH</w:t>
      </w:r>
    </w:p>
    <w:p w14:paraId="14C50847" w14:textId="77777777" w:rsidR="000535CA" w:rsidRDefault="000535CA" w:rsidP="000535CA">
      <w:pPr>
        <w:pStyle w:val="BodyTextIndent"/>
        <w:ind w:firstLine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Infectious Disease, Preventive Med &amp; Hospitalist at MMC;</w:t>
      </w:r>
    </w:p>
    <w:p w14:paraId="65DB4230" w14:textId="77777777" w:rsidR="000535CA" w:rsidRDefault="000535CA" w:rsidP="000535CA">
      <w:pPr>
        <w:pStyle w:val="BodyTextIndent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32"/>
          <w:szCs w:val="32"/>
        </w:rPr>
        <w:t>Medical Director of India Street Public Health STD Clinic &amp; Needle Exchange Program</w:t>
      </w:r>
    </w:p>
    <w:p w14:paraId="278726B2" w14:textId="77777777" w:rsidR="000535CA" w:rsidRDefault="000535CA" w:rsidP="000535CA">
      <w:pPr>
        <w:pStyle w:val="BodyTextIndent"/>
        <w:ind w:firstLine="0"/>
        <w:rPr>
          <w:rFonts w:ascii="Georgia" w:hAnsi="Georgia"/>
        </w:rPr>
      </w:pPr>
    </w:p>
    <w:p w14:paraId="06E44CCA" w14:textId="77777777" w:rsidR="000535CA" w:rsidRDefault="000535CA" w:rsidP="000535CA">
      <w:pPr>
        <w:pStyle w:val="Heading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Discussing   </w:t>
      </w:r>
    </w:p>
    <w:p w14:paraId="7F6297DA" w14:textId="77777777" w:rsidR="000535CA" w:rsidRDefault="000535CA" w:rsidP="000535CA">
      <w:pPr>
        <w:rPr>
          <w:rFonts w:ascii="Arial" w:hAnsi="Arial" w:cs="Arial"/>
        </w:rPr>
      </w:pPr>
    </w:p>
    <w:p w14:paraId="0468886D" w14:textId="77777777" w:rsidR="000535CA" w:rsidRDefault="000535CA" w:rsidP="000535CA">
      <w:pPr>
        <w:pStyle w:val="Heading2"/>
        <w:ind w:firstLine="720"/>
        <w:rPr>
          <w:rFonts w:ascii="Georgia" w:eastAsia="Times New Roman" w:hAnsi="Georgia"/>
          <w:snapToGrid w:val="0"/>
          <w:sz w:val="72"/>
          <w:szCs w:val="72"/>
        </w:rPr>
      </w:pPr>
      <w:r>
        <w:rPr>
          <w:rFonts w:ascii="Georgia" w:eastAsia="Times New Roman" w:hAnsi="Georgia"/>
          <w:snapToGrid w:val="0"/>
          <w:sz w:val="72"/>
          <w:szCs w:val="72"/>
        </w:rPr>
        <w:t xml:space="preserve">STD TRENDS IN MAINE </w:t>
      </w:r>
    </w:p>
    <w:p w14:paraId="39466563" w14:textId="77777777" w:rsidR="000535CA" w:rsidRDefault="000535CA" w:rsidP="000535CA">
      <w:pPr>
        <w:rPr>
          <w:rFonts w:ascii="Arial" w:hAnsi="Arial" w:cs="Arial"/>
          <w:sz w:val="24"/>
          <w:szCs w:val="24"/>
        </w:rPr>
      </w:pPr>
    </w:p>
    <w:p w14:paraId="5CAC4BBF" w14:textId="77777777" w:rsidR="000535CA" w:rsidRDefault="000535CA" w:rsidP="000535CA">
      <w:pPr>
        <w:ind w:left="720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u w:val="single"/>
        </w:rPr>
        <w:t>Objectives</w:t>
      </w:r>
      <w:r>
        <w:rPr>
          <w:rFonts w:ascii="Georgia" w:hAnsi="Georgia"/>
          <w:b/>
          <w:bCs/>
          <w:i/>
          <w:iCs/>
        </w:rPr>
        <w:t xml:space="preserve">:  </w:t>
      </w:r>
    </w:p>
    <w:p w14:paraId="58E2D4D9" w14:textId="77777777" w:rsidR="000535CA" w:rsidRDefault="000535CA" w:rsidP="000535CA">
      <w:pPr>
        <w:ind w:left="720"/>
        <w:jc w:val="center"/>
        <w:rPr>
          <w:rFonts w:ascii="Georgia" w:hAnsi="Georgia"/>
          <w:b/>
          <w:bCs/>
          <w:i/>
          <w:iCs/>
        </w:rPr>
      </w:pPr>
    </w:p>
    <w:p w14:paraId="110C6958" w14:textId="77777777" w:rsidR="000535CA" w:rsidRDefault="000535CA" w:rsidP="000535CA">
      <w:pPr>
        <w:numPr>
          <w:ilvl w:val="0"/>
          <w:numId w:val="1"/>
        </w:num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To understand current trends in chlamydia, gonorrhea, syphilis and HIV in Maine;</w:t>
      </w:r>
    </w:p>
    <w:p w14:paraId="243206A6" w14:textId="77777777" w:rsidR="000535CA" w:rsidRDefault="000535CA" w:rsidP="000535CA">
      <w:pPr>
        <w:numPr>
          <w:ilvl w:val="0"/>
          <w:numId w:val="1"/>
        </w:num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To identify appropriate STI screening and interpretation of labs;</w:t>
      </w:r>
    </w:p>
    <w:p w14:paraId="2E35D231" w14:textId="77777777" w:rsidR="000535CA" w:rsidRDefault="000535CA" w:rsidP="000535CA">
      <w:pPr>
        <w:numPr>
          <w:ilvl w:val="0"/>
          <w:numId w:val="1"/>
        </w:num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To understand appropriate screening, treatment and follow up for chlamydia, gonorrhea, syphilis and HIV.</w:t>
      </w:r>
    </w:p>
    <w:p w14:paraId="61CD6B01" w14:textId="77777777" w:rsidR="000535CA" w:rsidRDefault="000535CA" w:rsidP="000535CA">
      <w:pPr>
        <w:ind w:left="360" w:hanging="360"/>
        <w:jc w:val="both"/>
        <w:rPr>
          <w:rFonts w:ascii="Georgia" w:hAnsi="Georgia"/>
          <w:i/>
          <w:iCs/>
          <w:color w:val="FF0000"/>
        </w:rPr>
      </w:pPr>
      <w:r>
        <w:rPr>
          <w:rFonts w:ascii="Georgia" w:hAnsi="Georgia"/>
          <w:i/>
          <w:iCs/>
          <w:color w:val="FF0000"/>
        </w:rPr>
        <w:t xml:space="preserve">        </w:t>
      </w:r>
    </w:p>
    <w:p w14:paraId="208EF0F6" w14:textId="77777777" w:rsidR="000535CA" w:rsidRDefault="000535CA" w:rsidP="000535CA">
      <w:pPr>
        <w:ind w:left="360" w:hanging="360"/>
        <w:jc w:val="both"/>
        <w:rPr>
          <w:rFonts w:ascii="Georgia" w:hAnsi="Georgia"/>
          <w:i/>
          <w:iCs/>
          <w:color w:val="FF0000"/>
        </w:rPr>
      </w:pPr>
    </w:p>
    <w:p w14:paraId="26BEE0EA" w14:textId="77777777" w:rsidR="000535CA" w:rsidRDefault="000535CA" w:rsidP="000535CA">
      <w:pPr>
        <w:pStyle w:val="Heading2"/>
        <w:rPr>
          <w:rFonts w:ascii="Georgia" w:eastAsia="Times New Roman" w:hAnsi="Georgia"/>
          <w:sz w:val="52"/>
          <w:szCs w:val="52"/>
        </w:rPr>
      </w:pPr>
      <w:r>
        <w:rPr>
          <w:rFonts w:ascii="Georgia" w:eastAsia="Times New Roman" w:hAnsi="Georgia"/>
          <w:sz w:val="52"/>
          <w:szCs w:val="52"/>
        </w:rPr>
        <w:t>Thursday, January 30, 2020</w:t>
      </w:r>
    </w:p>
    <w:p w14:paraId="03C738CB" w14:textId="77777777" w:rsidR="000535CA" w:rsidRDefault="000535CA" w:rsidP="000535CA">
      <w:pPr>
        <w:rPr>
          <w:rFonts w:ascii="Arial" w:hAnsi="Arial" w:cs="Arial"/>
          <w:sz w:val="16"/>
          <w:szCs w:val="16"/>
        </w:rPr>
      </w:pPr>
    </w:p>
    <w:p w14:paraId="0CDA77AD" w14:textId="77777777" w:rsidR="000535CA" w:rsidRDefault="000535CA" w:rsidP="000535CA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12:00 noon to 1:00 pm in the Hitchings Conf. Room </w:t>
      </w:r>
    </w:p>
    <w:p w14:paraId="342DD69B" w14:textId="77777777" w:rsidR="000535CA" w:rsidRDefault="000535CA" w:rsidP="000535CA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with Lunch provided</w:t>
      </w:r>
    </w:p>
    <w:p w14:paraId="5D8EB8F8" w14:textId="77777777" w:rsidR="000535CA" w:rsidRDefault="000535CA" w:rsidP="000535CA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t xml:space="preserve">Hosted by Dr. Margaret </w:t>
      </w:r>
      <w:proofErr w:type="spellStart"/>
      <w:r>
        <w:rPr>
          <w:rFonts w:ascii="Georgia" w:hAnsi="Georgia"/>
          <w:b/>
          <w:bCs/>
        </w:rPr>
        <w:t>Kloby</w:t>
      </w:r>
      <w:proofErr w:type="spellEnd"/>
    </w:p>
    <w:p w14:paraId="475AF8EE" w14:textId="77777777" w:rsidR="000535CA" w:rsidRDefault="000535CA" w:rsidP="000535CA">
      <w:pPr>
        <w:jc w:val="center"/>
        <w:rPr>
          <w:rFonts w:ascii="Georgia" w:hAnsi="Georgia"/>
          <w:b/>
          <w:bCs/>
        </w:rPr>
      </w:pPr>
    </w:p>
    <w:p w14:paraId="080C9F73" w14:textId="77777777" w:rsidR="000535CA" w:rsidRDefault="000535CA" w:rsidP="000535CA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Pen Bay Medical Center designates this live activity for a maximum of one (1) AMA PRA Category I Credit™.  Physicians should only </w:t>
      </w:r>
    </w:p>
    <w:p w14:paraId="674DC236" w14:textId="77777777" w:rsidR="000535CA" w:rsidRDefault="000535CA" w:rsidP="000535CA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claim credit commensurate with the extent of their participation in the activity.</w:t>
      </w:r>
    </w:p>
    <w:p w14:paraId="2D207DBD" w14:textId="77777777" w:rsidR="000535CA" w:rsidRDefault="000535CA" w:rsidP="000535CA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Pen Bay Medical Center is accredited by the Maine Medical Association’s Committee on Continuing Medical Education &amp; </w:t>
      </w:r>
    </w:p>
    <w:p w14:paraId="5284999F" w14:textId="77777777" w:rsidR="000535CA" w:rsidRDefault="000535CA" w:rsidP="000535CA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Accreditation to provide Continuing Medical Education (CME) to physicians.</w:t>
      </w:r>
    </w:p>
    <w:p w14:paraId="44063A0F" w14:textId="77777777" w:rsidR="000535CA" w:rsidRDefault="000535CA" w:rsidP="000535CA">
      <w:pPr>
        <w:jc w:val="center"/>
        <w:rPr>
          <w:rFonts w:ascii="Georgia" w:hAnsi="Georgia"/>
          <w:sz w:val="18"/>
          <w:szCs w:val="18"/>
        </w:rPr>
      </w:pPr>
    </w:p>
    <w:p w14:paraId="3DEE2E5C" w14:textId="77777777" w:rsidR="000535CA" w:rsidRDefault="000535CA" w:rsidP="000535CA">
      <w:pPr>
        <w:jc w:val="center"/>
        <w:rPr>
          <w:rFonts w:ascii="Georgia" w:hAnsi="Georgia"/>
          <w:sz w:val="18"/>
          <w:szCs w:val="18"/>
        </w:rPr>
      </w:pPr>
    </w:p>
    <w:p w14:paraId="75756240" w14:textId="77777777" w:rsidR="000535CA" w:rsidRDefault="000535CA" w:rsidP="000535CA">
      <w:pPr>
        <w:spacing w:after="240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14:paraId="3347217E" w14:textId="77777777" w:rsidR="000535CA" w:rsidRDefault="000535CA" w:rsidP="000535CA">
      <w:pPr>
        <w:spacing w:after="120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 xml:space="preserve">Upcoming Conference: </w:t>
      </w:r>
      <w:r>
        <w:rPr>
          <w:rFonts w:ascii="Georgia" w:hAnsi="Georgia"/>
          <w:b/>
          <w:bCs/>
          <w:i/>
          <w:iCs/>
          <w:sz w:val="28"/>
          <w:szCs w:val="28"/>
          <w:u w:val="single"/>
        </w:rPr>
        <w:t xml:space="preserve"> February 6, </w:t>
      </w:r>
      <w:r>
        <w:rPr>
          <w:rFonts w:ascii="Georgia" w:hAnsi="Georgia"/>
          <w:b/>
          <w:bCs/>
          <w:i/>
          <w:iCs/>
          <w:sz w:val="28"/>
          <w:szCs w:val="28"/>
        </w:rPr>
        <w:t xml:space="preserve">2020:  Blood Bank &amp; Surgical Pathology Update </w:t>
      </w:r>
    </w:p>
    <w:p w14:paraId="4ADCBC82" w14:textId="77777777" w:rsidR="000535CA" w:rsidRDefault="000535CA" w:rsidP="000535CA">
      <w:pPr>
        <w:spacing w:after="120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with Dr. Bill Lambie, Pathology</w:t>
      </w:r>
    </w:p>
    <w:p w14:paraId="1138A9FC" w14:textId="77777777" w:rsidR="000535CA" w:rsidRDefault="000535CA" w:rsidP="000535CA"/>
    <w:p w14:paraId="45DDEB75" w14:textId="77777777" w:rsidR="000535CA" w:rsidRDefault="000535CA" w:rsidP="000535CA"/>
    <w:p w14:paraId="6D9EC935" w14:textId="77777777" w:rsidR="000535CA" w:rsidRDefault="000535CA" w:rsidP="000535CA"/>
    <w:p w14:paraId="7F99F10F" w14:textId="77777777" w:rsidR="000535CA" w:rsidRDefault="000535CA" w:rsidP="000535CA"/>
    <w:p w14:paraId="4FC1C190" w14:textId="77777777" w:rsidR="000535CA" w:rsidRDefault="000535CA" w:rsidP="000535CA">
      <w:pPr>
        <w:rPr>
          <w:rFonts w:ascii="Book Antiqua" w:hAnsi="Book Antiqua"/>
        </w:rPr>
      </w:pPr>
      <w:bookmarkStart w:id="0" w:name="_GoBack"/>
      <w:r>
        <w:rPr>
          <w:rFonts w:ascii="Book Antiqua" w:hAnsi="Book Antiqua"/>
          <w:b/>
          <w:bCs/>
        </w:rPr>
        <w:t>Cathy Hopler</w:t>
      </w:r>
      <w:r>
        <w:rPr>
          <w:rFonts w:ascii="Book Antiqua" w:hAnsi="Book Antiqua"/>
        </w:rPr>
        <w:t xml:space="preserve"> |Credentialing &amp; CME Coordinator | Pen Bay Medical Center</w:t>
      </w:r>
    </w:p>
    <w:p w14:paraId="572B878E" w14:textId="77777777" w:rsidR="000535CA" w:rsidRDefault="000535CA" w:rsidP="000535CA">
      <w:pPr>
        <w:rPr>
          <w:rFonts w:ascii="Book Antiqua" w:hAnsi="Book Antiqua"/>
        </w:rPr>
      </w:pPr>
      <w:hyperlink r:id="rId8" w:history="1">
        <w:r>
          <w:rPr>
            <w:rStyle w:val="Hyperlink"/>
            <w:rFonts w:ascii="Book Antiqua" w:hAnsi="Book Antiqua"/>
          </w:rPr>
          <w:t>chopler@pbmc.org</w:t>
        </w:r>
      </w:hyperlink>
      <w:r>
        <w:rPr>
          <w:rFonts w:ascii="Book Antiqua" w:hAnsi="Book Antiqua"/>
        </w:rPr>
        <w:t xml:space="preserve"> | Ph (207) 301-8215 | Fax (207) 301-5302</w:t>
      </w:r>
    </w:p>
    <w:bookmarkEnd w:id="0"/>
    <w:p w14:paraId="3BFC2F0C" w14:textId="77777777" w:rsidR="0011041D" w:rsidRDefault="0011041D"/>
    <w:sectPr w:rsidR="0011041D" w:rsidSect="00053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9475F"/>
    <w:multiLevelType w:val="hybridMultilevel"/>
    <w:tmpl w:val="9B48A99E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CA"/>
    <w:rsid w:val="000535CA"/>
    <w:rsid w:val="001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C9E5"/>
  <w15:chartTrackingRefBased/>
  <w15:docId w15:val="{D56DB977-DD3F-4EE9-A12E-09F0F147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5C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35C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535CA"/>
    <w:pPr>
      <w:keepNext/>
      <w:jc w:val="center"/>
      <w:outlineLvl w:val="3"/>
    </w:pPr>
    <w:rPr>
      <w:rFonts w:ascii="Arial" w:hAnsi="Arial" w:cs="Arial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35CA"/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5CA"/>
    <w:rPr>
      <w:rFonts w:ascii="Arial" w:hAnsi="Arial" w:cs="Arial"/>
      <w:i/>
      <w:i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535CA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0535CA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35CA"/>
    <w:rPr>
      <w:rFonts w:ascii="Arial" w:hAnsi="Arial" w:cs="Arial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35CA"/>
    <w:pPr>
      <w:ind w:firstLine="72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5CA"/>
    <w:rPr>
      <w:rFonts w:ascii="Bookman Old Style" w:hAnsi="Bookman Old Style" w:cs="Calibri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0535CA"/>
    <w:pPr>
      <w:jc w:val="center"/>
    </w:pPr>
    <w:rPr>
      <w:rFonts w:ascii="Arial" w:hAnsi="Arial" w:cs="Arial"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535CA"/>
    <w:rPr>
      <w:rFonts w:ascii="Arial" w:hAnsi="Arial" w:cs="Arial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ler@pbm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9321400713448B12A65C93215F026" ma:contentTypeVersion="10" ma:contentTypeDescription="Create a new document." ma:contentTypeScope="" ma:versionID="b6e0e50bfa61a6710f76accc2fe2f7ad">
  <xsd:schema xmlns:xsd="http://www.w3.org/2001/XMLSchema" xmlns:xs="http://www.w3.org/2001/XMLSchema" xmlns:p="http://schemas.microsoft.com/office/2006/metadata/properties" xmlns:ns3="460b623e-3f8a-4795-b7ac-3a9f34765605" targetNamespace="http://schemas.microsoft.com/office/2006/metadata/properties" ma:root="true" ma:fieldsID="8486708a9d862d089fccc56e59e01a37" ns3:_="">
    <xsd:import namespace="460b623e-3f8a-4795-b7ac-3a9f34765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b623e-3f8a-4795-b7ac-3a9f34765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31EC2-0BF2-42AF-B32D-43A6B94B9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b623e-3f8a-4795-b7ac-3a9f3476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E9485-CE32-4FE0-A4E3-13DF3A97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C359D-CA59-4AF6-B1E6-E17CE3A97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Begin</dc:creator>
  <cp:keywords/>
  <dc:description/>
  <cp:lastModifiedBy>Gail Begin</cp:lastModifiedBy>
  <cp:revision>1</cp:revision>
  <dcterms:created xsi:type="dcterms:W3CDTF">2020-01-24T16:27:00Z</dcterms:created>
  <dcterms:modified xsi:type="dcterms:W3CDTF">2020-01-24T16:30:00Z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0x010100D889321400713448B12A65C93215F026</vt:lpwstr>
  </property>
</Properties>
</file>